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s="宋体"/>
          <w:b/>
          <w:bCs/>
          <w:sz w:val="44"/>
          <w:szCs w:val="44"/>
        </w:rPr>
      </w:pPr>
    </w:p>
    <w:p>
      <w:pPr>
        <w:widowControl/>
        <w:spacing w:line="720" w:lineRule="exact"/>
        <w:jc w:val="center"/>
        <w:rPr>
          <w:rFonts w:ascii="方正小标宋简体" w:hAnsi="宋体" w:eastAsia="方正小标宋简体" w:cs="宋体"/>
          <w:w w:val="90"/>
          <w:kern w:val="0"/>
          <w:sz w:val="44"/>
          <w:szCs w:val="44"/>
        </w:rPr>
      </w:pPr>
      <w:r>
        <w:rPr>
          <w:rFonts w:hint="eastAsia" w:ascii="方正小标宋简体" w:hAnsi="宋体" w:eastAsia="方正小标宋简体" w:cs="宋体"/>
          <w:w w:val="90"/>
          <w:kern w:val="0"/>
          <w:sz w:val="44"/>
          <w:szCs w:val="44"/>
        </w:rPr>
        <w:t>关于印发《</w:t>
      </w:r>
      <w:bookmarkStart w:id="0" w:name="_GoBack"/>
      <w:r>
        <w:rPr>
          <w:rFonts w:hint="eastAsia" w:ascii="方正小标宋简体" w:hAnsi="宋体" w:eastAsia="方正小标宋简体" w:cs="宋体"/>
          <w:w w:val="90"/>
          <w:kern w:val="0"/>
          <w:sz w:val="44"/>
          <w:szCs w:val="44"/>
        </w:rPr>
        <w:t>江苏大学</w:t>
      </w:r>
      <w:r>
        <w:rPr>
          <w:rFonts w:hint="eastAsia" w:ascii="方正小标宋简体" w:hAnsi="宋体" w:eastAsia="方正小标宋简体" w:cs="宋体"/>
          <w:w w:val="90"/>
          <w:kern w:val="0"/>
          <w:sz w:val="44"/>
          <w:szCs w:val="44"/>
          <w:lang w:eastAsia="zh-CN"/>
        </w:rPr>
        <w:t>对抽检有不合格意见的研究生学位论文的处理办法</w:t>
      </w:r>
      <w:bookmarkEnd w:id="0"/>
      <w:r>
        <w:rPr>
          <w:rFonts w:hint="eastAsia" w:ascii="方正小标宋简体" w:hAnsi="宋体" w:eastAsia="方正小标宋简体" w:cs="宋体"/>
          <w:w w:val="90"/>
          <w:kern w:val="0"/>
          <w:sz w:val="44"/>
          <w:szCs w:val="44"/>
        </w:rPr>
        <w:t>》的通知</w:t>
      </w:r>
    </w:p>
    <w:p>
      <w:pPr>
        <w:widowControl/>
        <w:jc w:val="left"/>
        <w:rPr>
          <w:rFonts w:hint="eastAsia" w:ascii="宋体" w:hAnsi="宋体" w:eastAsia="仿宋_GB2312" w:cs="宋体"/>
          <w:kern w:val="0"/>
          <w:sz w:val="24"/>
          <w:szCs w:val="21"/>
        </w:rPr>
      </w:pPr>
    </w:p>
    <w:p>
      <w:pPr>
        <w:widowControl/>
        <w:spacing w:line="560" w:lineRule="exact"/>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全校各单位：</w:t>
      </w:r>
    </w:p>
    <w:p>
      <w:pPr>
        <w:widowControl/>
        <w:spacing w:line="560" w:lineRule="exact"/>
        <w:ind w:firstLine="632"/>
        <w:jc w:val="left"/>
        <w:rPr>
          <w:rFonts w:hint="eastAsia" w:ascii="仿宋_GB2312" w:hAnsi="仿宋" w:eastAsia="仿宋_GB2312" w:cs="宋体"/>
          <w:bCs/>
          <w:color w:val="000000"/>
          <w:kern w:val="0"/>
          <w:sz w:val="32"/>
          <w:szCs w:val="32"/>
        </w:rPr>
      </w:pPr>
      <w:r>
        <w:rPr>
          <w:rFonts w:ascii="仿宋_GB2312" w:hAnsi="仿宋" w:eastAsia="仿宋_GB2312" w:cs="宋体"/>
          <w:bCs/>
          <w:color w:val="000000"/>
          <w:kern w:val="0"/>
          <w:sz w:val="32"/>
          <w:szCs w:val="32"/>
        </w:rPr>
        <w:t>《</w:t>
      </w:r>
      <w:r>
        <w:rPr>
          <w:rFonts w:hint="eastAsia" w:ascii="仿宋_GB2312" w:hAnsi="仿宋" w:eastAsia="仿宋_GB2312" w:cs="宋体"/>
          <w:bCs/>
          <w:color w:val="000000"/>
          <w:kern w:val="0"/>
          <w:sz w:val="32"/>
          <w:szCs w:val="32"/>
        </w:rPr>
        <w:t>江苏大学</w:t>
      </w:r>
      <w:r>
        <w:rPr>
          <w:rFonts w:hint="eastAsia" w:ascii="仿宋_GB2312" w:hAnsi="仿宋" w:eastAsia="仿宋_GB2312" w:cs="宋体"/>
          <w:bCs/>
          <w:color w:val="000000"/>
          <w:kern w:val="0"/>
          <w:sz w:val="32"/>
          <w:szCs w:val="32"/>
          <w:lang w:eastAsia="zh-CN"/>
        </w:rPr>
        <w:t>对抽检有不合格意见的研究生学位论文的处理办法</w:t>
      </w:r>
      <w:r>
        <w:rPr>
          <w:rFonts w:ascii="仿宋_GB2312" w:hAnsi="仿宋" w:eastAsia="仿宋_GB2312" w:cs="宋体"/>
          <w:bCs/>
          <w:color w:val="000000"/>
          <w:kern w:val="0"/>
          <w:sz w:val="32"/>
          <w:szCs w:val="32"/>
        </w:rPr>
        <w:t>》已经校长办公会议讨论通过，现印发给你们，请遵照执行。</w:t>
      </w:r>
    </w:p>
    <w:p>
      <w:pPr>
        <w:widowControl/>
        <w:spacing w:line="560" w:lineRule="exact"/>
        <w:ind w:firstLine="640" w:firstLineChars="200"/>
        <w:jc w:val="left"/>
        <w:rPr>
          <w:rFonts w:ascii="仿宋_GB2312" w:hAnsi="仿宋" w:eastAsia="仿宋_GB2312" w:cs="Arial"/>
          <w:bCs/>
          <w:color w:val="000000"/>
          <w:kern w:val="0"/>
          <w:sz w:val="32"/>
          <w:szCs w:val="32"/>
        </w:rPr>
      </w:pPr>
    </w:p>
    <w:p>
      <w:pPr>
        <w:widowControl/>
        <w:spacing w:line="560" w:lineRule="exact"/>
        <w:ind w:firstLine="640" w:firstLineChars="200"/>
        <w:jc w:val="left"/>
        <w:rPr>
          <w:rFonts w:hint="eastAsia" w:ascii="仿宋_GB2312" w:hAnsi="仿宋" w:eastAsia="仿宋_GB2312" w:cs="Arial"/>
          <w:bCs/>
          <w:color w:val="000000"/>
          <w:kern w:val="0"/>
          <w:sz w:val="32"/>
          <w:szCs w:val="32"/>
        </w:rPr>
      </w:pPr>
    </w:p>
    <w:p>
      <w:pPr>
        <w:widowControl/>
        <w:spacing w:line="560" w:lineRule="exact"/>
        <w:ind w:firstLine="640" w:firstLineChars="200"/>
        <w:jc w:val="left"/>
        <w:rPr>
          <w:rFonts w:hint="eastAsia" w:ascii="仿宋_GB2312" w:hAnsi="仿宋" w:eastAsia="仿宋_GB2312" w:cs="Arial"/>
          <w:bCs/>
          <w:color w:val="000000"/>
          <w:kern w:val="0"/>
          <w:sz w:val="32"/>
          <w:szCs w:val="32"/>
        </w:rPr>
      </w:pPr>
      <w:r>
        <w:rPr>
          <w:rFonts w:hint="eastAsia" w:ascii="仿宋_GB2312" w:hAnsi="仿宋" w:eastAsia="仿宋_GB2312" w:cs="Arial"/>
          <w:bCs/>
          <w:color w:val="000000"/>
          <w:kern w:val="0"/>
          <w:sz w:val="32"/>
          <w:szCs w:val="32"/>
        </w:rPr>
        <w:t>           </w:t>
      </w:r>
      <w:r>
        <w:rPr>
          <w:kern w:val="0"/>
          <w:sz w:val="32"/>
          <w:szCs w:val="32"/>
        </w:rPr>
        <w:t xml:space="preserve">  </w:t>
      </w:r>
      <w:r>
        <w:rPr>
          <w:rFonts w:hint="eastAsia"/>
          <w:kern w:val="0"/>
          <w:sz w:val="32"/>
          <w:szCs w:val="32"/>
        </w:rPr>
        <w:t xml:space="preserve">               </w:t>
      </w:r>
      <w:r>
        <w:rPr>
          <w:kern w:val="0"/>
          <w:sz w:val="32"/>
          <w:szCs w:val="32"/>
        </w:rPr>
        <w:t xml:space="preserve"> </w:t>
      </w:r>
      <w:r>
        <w:rPr>
          <w:rFonts w:hint="eastAsia" w:hAnsi="宋体" w:eastAsia="仿宋_GB2312" w:cs="宋体"/>
          <w:kern w:val="0"/>
          <w:sz w:val="32"/>
          <w:szCs w:val="32"/>
        </w:rPr>
        <w:t>江苏大学</w:t>
      </w:r>
    </w:p>
    <w:p>
      <w:pPr>
        <w:widowControl/>
        <w:spacing w:after="156" w:afterLines="50" w:line="560" w:lineRule="exact"/>
        <w:ind w:right="1077"/>
        <w:jc w:val="center"/>
        <w:rPr>
          <w:rFonts w:hint="eastAsia" w:ascii="宋体" w:hAnsi="宋体" w:cs="宋体"/>
          <w:kern w:val="0"/>
          <w:sz w:val="24"/>
        </w:rPr>
      </w:pPr>
      <w:r>
        <w:rPr>
          <w:kern w:val="0"/>
          <w:sz w:val="32"/>
          <w:szCs w:val="32"/>
        </w:rPr>
        <w:t xml:space="preserve">                              201</w:t>
      </w:r>
      <w:r>
        <w:rPr>
          <w:rFonts w:hint="eastAsia"/>
          <w:kern w:val="0"/>
          <w:sz w:val="32"/>
          <w:szCs w:val="32"/>
          <w:lang w:val="en-US" w:eastAsia="zh-CN"/>
        </w:rPr>
        <w:t>6</w:t>
      </w:r>
      <w:r>
        <w:rPr>
          <w:rFonts w:hint="eastAsia" w:hAnsi="宋体" w:eastAsia="仿宋_GB2312" w:cs="宋体"/>
          <w:kern w:val="0"/>
          <w:sz w:val="32"/>
          <w:szCs w:val="32"/>
        </w:rPr>
        <w:t>年</w:t>
      </w:r>
      <w:r>
        <w:rPr>
          <w:rFonts w:hint="eastAsia" w:eastAsia="仿宋_GB2312"/>
          <w:kern w:val="0"/>
          <w:sz w:val="32"/>
          <w:szCs w:val="32"/>
          <w:lang w:val="en-US" w:eastAsia="zh-CN"/>
        </w:rPr>
        <w:t>12</w:t>
      </w:r>
      <w:r>
        <w:rPr>
          <w:rFonts w:hint="eastAsia" w:hAnsi="宋体" w:eastAsia="仿宋_GB2312" w:cs="宋体"/>
          <w:kern w:val="0"/>
          <w:sz w:val="32"/>
          <w:szCs w:val="32"/>
        </w:rPr>
        <w:t>月</w:t>
      </w:r>
      <w:r>
        <w:rPr>
          <w:kern w:val="0"/>
          <w:sz w:val="32"/>
          <w:szCs w:val="32"/>
        </w:rPr>
        <w:t>27</w:t>
      </w:r>
      <w:r>
        <w:rPr>
          <w:rFonts w:hint="eastAsia" w:hAnsi="宋体" w:eastAsia="仿宋_GB2312" w:cs="宋体"/>
          <w:kern w:val="0"/>
          <w:sz w:val="32"/>
          <w:szCs w:val="32"/>
        </w:rPr>
        <w:t>日</w:t>
      </w:r>
      <w:r>
        <w:rPr>
          <w:kern w:val="0"/>
          <w:sz w:val="32"/>
          <w:szCs w:val="32"/>
        </w:rPr>
        <w:t xml:space="preserve"> </w:t>
      </w:r>
    </w:p>
    <w:p>
      <w:pPr>
        <w:widowControl/>
        <w:spacing w:after="156" w:afterLines="50" w:line="560" w:lineRule="exact"/>
        <w:ind w:right="1077"/>
        <w:jc w:val="center"/>
        <w:rPr>
          <w:rFonts w:ascii="宋体" w:hAnsi="宋体" w:cs="宋体"/>
          <w:kern w:val="0"/>
          <w:sz w:val="24"/>
        </w:rPr>
      </w:pPr>
      <w:r>
        <w:rPr>
          <w:rFonts w:ascii="宋体" w:hAnsi="宋体" w:cs="宋体"/>
          <w:kern w:val="0"/>
          <w:sz w:val="24"/>
        </w:rPr>
        <w:t> </w:t>
      </w:r>
    </w:p>
    <w:p>
      <w:pPr>
        <w:widowControl/>
        <w:spacing w:after="156" w:afterLines="50" w:line="560" w:lineRule="exact"/>
        <w:ind w:right="1077"/>
        <w:jc w:val="center"/>
        <w:rPr>
          <w:rFonts w:ascii="仿宋_GB2312" w:hAnsi="宋体" w:eastAsia="仿宋_GB2312" w:cs="宋体"/>
          <w:kern w:val="0"/>
          <w:sz w:val="32"/>
          <w:szCs w:val="32"/>
        </w:rPr>
      </w:pPr>
      <w:r>
        <w:rPr>
          <w:rFonts w:ascii="宋体" w:hAnsi="宋体" w:cs="宋体"/>
          <w:kern w:val="0"/>
          <w:sz w:val="24"/>
        </w:rPr>
        <w:t> </w:t>
      </w:r>
    </w:p>
    <w:tbl>
      <w:tblPr>
        <w:tblStyle w:val="5"/>
        <w:tblpPr w:leftFromText="180" w:rightFromText="180" w:topFromText="100" w:bottomFromText="100" w:vertAnchor="page" w:horzAnchor="margin" w:tblpY="14702"/>
        <w:tblW w:w="9854" w:type="dxa"/>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9854" w:type="dxa"/>
            <w:tcBorders>
              <w:top w:val="single" w:color="auto" w:sz="8" w:space="0"/>
              <w:left w:val="nil"/>
              <w:bottom w:val="single" w:color="auto" w:sz="8" w:space="0"/>
              <w:right w:val="nil"/>
            </w:tcBorders>
            <w:shd w:val="clear" w:color="auto" w:fill="auto"/>
            <w:vAlign w:val="center"/>
          </w:tcPr>
          <w:p>
            <w:pPr>
              <w:widowControl/>
              <w:tabs>
                <w:tab w:val="left" w:pos="8370"/>
                <w:tab w:val="left" w:pos="8610"/>
              </w:tabs>
              <w:spacing w:line="480" w:lineRule="exact"/>
              <w:ind w:firstLine="300" w:firstLineChars="1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江苏大学校长办公室             201</w:t>
            </w:r>
            <w:r>
              <w:rPr>
                <w:rFonts w:hint="eastAsia" w:ascii="仿宋_GB2312" w:hAnsi="宋体" w:eastAsia="仿宋_GB2312" w:cs="宋体"/>
                <w:kern w:val="0"/>
                <w:sz w:val="30"/>
                <w:szCs w:val="30"/>
                <w:lang w:val="en-US" w:eastAsia="zh-CN"/>
              </w:rPr>
              <w:t>6</w:t>
            </w:r>
            <w:r>
              <w:rPr>
                <w:rFonts w:hint="eastAsia" w:ascii="仿宋_GB2312" w:hAnsi="宋体" w:eastAsia="仿宋_GB2312" w:cs="宋体"/>
                <w:kern w:val="0"/>
                <w:sz w:val="30"/>
                <w:szCs w:val="30"/>
              </w:rPr>
              <w:t>年</w:t>
            </w:r>
            <w:r>
              <w:rPr>
                <w:rFonts w:hint="eastAsia" w:ascii="仿宋_GB2312" w:hAnsi="宋体" w:eastAsia="仿宋_GB2312" w:cs="宋体"/>
                <w:kern w:val="0"/>
                <w:sz w:val="30"/>
                <w:szCs w:val="30"/>
                <w:lang w:val="en-US" w:eastAsia="zh-CN"/>
              </w:rPr>
              <w:t>12</w:t>
            </w:r>
            <w:r>
              <w:rPr>
                <w:rFonts w:hint="eastAsia" w:ascii="仿宋_GB2312" w:hAnsi="宋体" w:eastAsia="仿宋_GB2312" w:cs="宋体"/>
                <w:kern w:val="0"/>
                <w:sz w:val="30"/>
                <w:szCs w:val="30"/>
              </w:rPr>
              <w:t>月2</w:t>
            </w:r>
            <w:r>
              <w:rPr>
                <w:rFonts w:hint="eastAsia" w:ascii="仿宋_GB2312" w:hAnsi="宋体" w:eastAsia="仿宋_GB2312" w:cs="宋体"/>
                <w:kern w:val="0"/>
                <w:sz w:val="30"/>
                <w:szCs w:val="30"/>
                <w:lang w:val="en-US" w:eastAsia="zh-CN"/>
              </w:rPr>
              <w:t>7</w:t>
            </w:r>
            <w:r>
              <w:rPr>
                <w:rFonts w:hint="eastAsia" w:ascii="仿宋_GB2312" w:hAnsi="宋体" w:eastAsia="仿宋_GB2312" w:cs="宋体"/>
                <w:kern w:val="0"/>
                <w:sz w:val="30"/>
                <w:szCs w:val="30"/>
              </w:rPr>
              <w:t>日印发</w:t>
            </w:r>
          </w:p>
        </w:tc>
      </w:tr>
    </w:tbl>
    <w:p>
      <w:pPr>
        <w:jc w:val="center"/>
        <w:rPr>
          <w:rFonts w:hint="eastAsia" w:cs="宋体"/>
          <w:b/>
          <w:bCs/>
          <w:sz w:val="44"/>
          <w:szCs w:val="44"/>
        </w:rPr>
      </w:pPr>
    </w:p>
    <w:p>
      <w:pPr>
        <w:jc w:val="center"/>
        <w:rPr>
          <w:rFonts w:hint="eastAsia" w:cs="宋体"/>
          <w:b/>
          <w:bCs/>
          <w:sz w:val="44"/>
          <w:szCs w:val="44"/>
        </w:rPr>
      </w:pPr>
    </w:p>
    <w:p>
      <w:pPr>
        <w:jc w:val="center"/>
        <w:rPr>
          <w:rFonts w:hint="eastAsia" w:cs="宋体"/>
          <w:b/>
          <w:bCs/>
          <w:sz w:val="44"/>
          <w:szCs w:val="44"/>
        </w:rPr>
      </w:pPr>
    </w:p>
    <w:p>
      <w:pPr>
        <w:jc w:val="center"/>
        <w:rPr>
          <w:rFonts w:hint="eastAsia" w:cs="宋体"/>
          <w:b/>
          <w:bCs/>
          <w:sz w:val="44"/>
          <w:szCs w:val="44"/>
        </w:rPr>
      </w:pPr>
    </w:p>
    <w:p>
      <w:pPr>
        <w:jc w:val="center"/>
        <w:rPr>
          <w:rFonts w:hint="eastAsia" w:cs="宋体"/>
          <w:b/>
          <w:bCs/>
          <w:sz w:val="44"/>
          <w:szCs w:val="44"/>
        </w:rPr>
      </w:pPr>
    </w:p>
    <w:p>
      <w:pPr>
        <w:jc w:val="center"/>
        <w:rPr>
          <w:rFonts w:hint="eastAsia" w:cs="宋体"/>
          <w:b/>
          <w:bCs/>
          <w:sz w:val="44"/>
          <w:szCs w:val="44"/>
        </w:rPr>
      </w:pPr>
    </w:p>
    <w:p>
      <w:pPr>
        <w:jc w:val="center"/>
        <w:rPr>
          <w:rFonts w:hint="eastAsia" w:cs="宋体"/>
          <w:b/>
          <w:bCs/>
          <w:sz w:val="44"/>
          <w:szCs w:val="44"/>
        </w:rPr>
      </w:pPr>
    </w:p>
    <w:p>
      <w:pPr>
        <w:jc w:val="center"/>
        <w:rPr>
          <w:rFonts w:hint="eastAsia" w:cs="宋体"/>
          <w:b/>
          <w:bCs/>
          <w:sz w:val="44"/>
          <w:szCs w:val="44"/>
        </w:rPr>
      </w:pPr>
    </w:p>
    <w:p>
      <w:pPr>
        <w:jc w:val="both"/>
        <w:rPr>
          <w:rFonts w:hint="eastAsia" w:cs="宋体"/>
          <w:b/>
          <w:bCs/>
          <w:sz w:val="44"/>
          <w:szCs w:val="44"/>
        </w:rPr>
      </w:pPr>
    </w:p>
    <w:p>
      <w:pPr>
        <w:jc w:val="center"/>
        <w:rPr>
          <w:rFonts w:cs="Times New Roman"/>
          <w:b/>
          <w:bCs/>
          <w:sz w:val="44"/>
          <w:szCs w:val="44"/>
        </w:rPr>
      </w:pPr>
      <w:r>
        <w:rPr>
          <w:rFonts w:hint="eastAsia" w:cs="宋体"/>
          <w:b/>
          <w:bCs/>
          <w:sz w:val="44"/>
          <w:szCs w:val="44"/>
        </w:rPr>
        <w:t>江</w:t>
      </w:r>
      <w:r>
        <w:rPr>
          <w:b/>
          <w:bCs/>
          <w:sz w:val="44"/>
          <w:szCs w:val="44"/>
        </w:rPr>
        <w:t xml:space="preserve"> </w:t>
      </w:r>
      <w:r>
        <w:rPr>
          <w:rFonts w:hint="eastAsia" w:cs="宋体"/>
          <w:b/>
          <w:bCs/>
          <w:sz w:val="44"/>
          <w:szCs w:val="44"/>
        </w:rPr>
        <w:t>苏</w:t>
      </w:r>
      <w:r>
        <w:rPr>
          <w:b/>
          <w:bCs/>
          <w:sz w:val="44"/>
          <w:szCs w:val="44"/>
        </w:rPr>
        <w:t xml:space="preserve"> </w:t>
      </w:r>
      <w:r>
        <w:rPr>
          <w:rFonts w:hint="eastAsia" w:cs="宋体"/>
          <w:b/>
          <w:bCs/>
          <w:sz w:val="44"/>
          <w:szCs w:val="44"/>
        </w:rPr>
        <w:t>大</w:t>
      </w:r>
      <w:r>
        <w:rPr>
          <w:b/>
          <w:bCs/>
          <w:sz w:val="44"/>
          <w:szCs w:val="44"/>
        </w:rPr>
        <w:t xml:space="preserve"> </w:t>
      </w:r>
      <w:r>
        <w:rPr>
          <w:rFonts w:hint="eastAsia" w:cs="宋体"/>
          <w:b/>
          <w:bCs/>
          <w:sz w:val="44"/>
          <w:szCs w:val="44"/>
        </w:rPr>
        <w:t>学</w:t>
      </w:r>
    </w:p>
    <w:p>
      <w:pPr>
        <w:jc w:val="center"/>
        <w:rPr>
          <w:rFonts w:cs="Times New Roman"/>
          <w:b/>
          <w:bCs/>
          <w:sz w:val="36"/>
          <w:szCs w:val="36"/>
        </w:rPr>
      </w:pPr>
      <w:r>
        <w:rPr>
          <w:rFonts w:hint="eastAsia" w:cs="宋体"/>
          <w:b/>
          <w:bCs/>
          <w:sz w:val="36"/>
          <w:szCs w:val="36"/>
        </w:rPr>
        <w:t>对抽检评议有不合格意见的研究生学位论文的处理办法</w:t>
      </w:r>
    </w:p>
    <w:p>
      <w:pPr>
        <w:jc w:val="left"/>
        <w:rPr>
          <w:rFonts w:cs="Times New Roman"/>
          <w:b/>
          <w:bCs/>
          <w:sz w:val="32"/>
          <w:szCs w:val="32"/>
        </w:rPr>
      </w:pPr>
    </w:p>
    <w:p>
      <w:pPr>
        <w:snapToGrid w:val="0"/>
        <w:spacing w:line="360" w:lineRule="auto"/>
        <w:ind w:firstLine="31680" w:firstLineChars="200"/>
        <w:jc w:val="left"/>
        <w:rPr>
          <w:rFonts w:cs="Times New Roman"/>
          <w:sz w:val="28"/>
          <w:szCs w:val="28"/>
        </w:rPr>
      </w:pPr>
      <w:r>
        <w:rPr>
          <w:rFonts w:hint="eastAsia" w:cs="宋体"/>
          <w:b/>
          <w:bCs/>
          <w:sz w:val="28"/>
          <w:szCs w:val="28"/>
        </w:rPr>
        <w:t>第一条</w:t>
      </w:r>
      <w:r>
        <w:rPr>
          <w:sz w:val="28"/>
          <w:szCs w:val="28"/>
        </w:rPr>
        <w:t xml:space="preserve">  </w:t>
      </w:r>
      <w:r>
        <w:rPr>
          <w:rFonts w:hint="eastAsia" w:cs="宋体"/>
          <w:sz w:val="28"/>
          <w:szCs w:val="28"/>
        </w:rPr>
        <w:t>为强化研究生培养的激励、约束机制，充分发挥导师在研究生学位论文工作中的指导、把关作用，进一步提高我校研究生学位论文质量，特制订本办法。</w:t>
      </w:r>
    </w:p>
    <w:p>
      <w:pPr>
        <w:snapToGrid w:val="0"/>
        <w:spacing w:line="360" w:lineRule="auto"/>
        <w:ind w:firstLine="31680" w:firstLineChars="200"/>
        <w:jc w:val="left"/>
        <w:rPr>
          <w:rFonts w:cs="Times New Roman"/>
          <w:sz w:val="28"/>
          <w:szCs w:val="28"/>
        </w:rPr>
      </w:pPr>
      <w:r>
        <w:rPr>
          <w:rFonts w:hint="eastAsia" w:cs="宋体"/>
          <w:b/>
          <w:bCs/>
          <w:sz w:val="28"/>
          <w:szCs w:val="28"/>
        </w:rPr>
        <w:t>第二条</w:t>
      </w:r>
      <w:r>
        <w:rPr>
          <w:sz w:val="28"/>
          <w:szCs w:val="28"/>
        </w:rPr>
        <w:t xml:space="preserve">  </w:t>
      </w:r>
      <w:r>
        <w:rPr>
          <w:rFonts w:hint="eastAsia" w:cs="宋体"/>
          <w:sz w:val="28"/>
          <w:szCs w:val="28"/>
        </w:rPr>
        <w:t>本办法适用于在国务院学位委员会办公室（以下简称“国务院学位办”）组织的博士学位论文抽检、江苏省学位委员会办公室（以下简称“省学位办”）组织的硕士学位论文抽检、各专业学位全国教育指导委员会（以下简称“教指委”）组织的专业学位论文抽检以及江苏大学学位评定委员会办公室（以下简称“校学位办”）组织的硕士学位论文抽检中，有一份（及以上）专家评议结果为“不合格”的学位论文。</w:t>
      </w:r>
    </w:p>
    <w:p>
      <w:pPr>
        <w:snapToGrid w:val="0"/>
        <w:spacing w:line="360" w:lineRule="auto"/>
        <w:ind w:firstLine="31680" w:firstLineChars="200"/>
        <w:jc w:val="left"/>
        <w:rPr>
          <w:rFonts w:cs="Times New Roman"/>
          <w:sz w:val="28"/>
          <w:szCs w:val="28"/>
        </w:rPr>
      </w:pPr>
      <w:r>
        <w:rPr>
          <w:rFonts w:hint="eastAsia" w:cs="宋体"/>
          <w:b/>
          <w:bCs/>
          <w:sz w:val="28"/>
          <w:szCs w:val="28"/>
        </w:rPr>
        <w:t>第三条</w:t>
      </w:r>
      <w:r>
        <w:rPr>
          <w:sz w:val="28"/>
          <w:szCs w:val="28"/>
        </w:rPr>
        <w:t xml:space="preserve">  </w:t>
      </w:r>
      <w:r>
        <w:rPr>
          <w:rFonts w:hint="eastAsia" w:cs="宋体"/>
          <w:sz w:val="28"/>
          <w:szCs w:val="28"/>
        </w:rPr>
        <w:t>若抽检学位论文有两位或两位以上专家评议为“不合格”，则直接认定此篇学位论文为不合格。导师必须指导论文作者对学位论文进行认真修改，修改时间不超过</w:t>
      </w:r>
      <w:r>
        <w:rPr>
          <w:sz w:val="28"/>
          <w:szCs w:val="28"/>
        </w:rPr>
        <w:t>1</w:t>
      </w:r>
      <w:r>
        <w:rPr>
          <w:rFonts w:hint="eastAsia" w:cs="宋体"/>
          <w:sz w:val="28"/>
          <w:szCs w:val="28"/>
        </w:rPr>
        <w:t>年（应届毕业生的修改时间不超过剩余的学习年限数），逾期者视作自动放弃本次学位。论文修改完成后提交校学位办，由学位办再次组织“双盲”送审。</w:t>
      </w:r>
      <w:r>
        <w:rPr>
          <w:rFonts w:hint="eastAsia" w:cs="宋体"/>
          <w:sz w:val="28"/>
          <w:szCs w:val="28"/>
          <w:lang w:eastAsia="zh-CN"/>
        </w:rPr>
        <w:t>再次“双盲”送审出现不合格者，学校将撤销已授的学位（对于未毕业的研究生将终止其培养）。</w:t>
      </w:r>
    </w:p>
    <w:p>
      <w:pPr>
        <w:snapToGrid w:val="0"/>
        <w:spacing w:line="360" w:lineRule="auto"/>
        <w:ind w:firstLine="31680" w:firstLineChars="200"/>
        <w:jc w:val="left"/>
        <w:rPr>
          <w:rFonts w:cs="Times New Roman"/>
          <w:sz w:val="28"/>
          <w:szCs w:val="28"/>
        </w:rPr>
      </w:pPr>
      <w:r>
        <w:rPr>
          <w:rFonts w:hint="eastAsia" w:cs="宋体"/>
          <w:b/>
          <w:bCs/>
          <w:sz w:val="28"/>
          <w:szCs w:val="28"/>
        </w:rPr>
        <w:t>第四条</w:t>
      </w:r>
      <w:r>
        <w:rPr>
          <w:sz w:val="28"/>
          <w:szCs w:val="28"/>
        </w:rPr>
        <w:t xml:space="preserve">  </w:t>
      </w:r>
      <w:r>
        <w:rPr>
          <w:rFonts w:hint="eastAsia" w:cs="宋体"/>
          <w:sz w:val="28"/>
          <w:szCs w:val="28"/>
        </w:rPr>
        <w:t>若抽检学位论文有一位专家评议为“不合格”，则由学院</w:t>
      </w:r>
      <w:r>
        <w:rPr>
          <w:rFonts w:hint="eastAsia" w:cs="宋体"/>
          <w:sz w:val="28"/>
          <w:szCs w:val="28"/>
          <w:lang w:eastAsia="zh-CN"/>
        </w:rPr>
        <w:t>（中心、研究院、所）</w:t>
      </w:r>
      <w:r>
        <w:rPr>
          <w:rFonts w:hint="eastAsia" w:cs="宋体"/>
          <w:sz w:val="28"/>
          <w:szCs w:val="28"/>
        </w:rPr>
        <w:t>学位评定分委员会（以下简称“分委会”）组织由学科带头人牵头的专家组（不少于</w:t>
      </w:r>
      <w:r>
        <w:rPr>
          <w:sz w:val="28"/>
          <w:szCs w:val="28"/>
        </w:rPr>
        <w:t>5</w:t>
      </w:r>
      <w:r>
        <w:rPr>
          <w:rFonts w:hint="eastAsia" w:cs="宋体"/>
          <w:sz w:val="28"/>
          <w:szCs w:val="28"/>
        </w:rPr>
        <w:t>人）对学位论文和相关专家意见进行审议：</w:t>
      </w:r>
    </w:p>
    <w:p>
      <w:pPr>
        <w:snapToGrid w:val="0"/>
        <w:spacing w:line="360" w:lineRule="auto"/>
        <w:ind w:firstLine="31680" w:firstLineChars="200"/>
        <w:jc w:val="left"/>
        <w:rPr>
          <w:rFonts w:cs="Times New Roman"/>
          <w:sz w:val="28"/>
          <w:szCs w:val="28"/>
        </w:rPr>
      </w:pPr>
      <w:r>
        <w:rPr>
          <w:sz w:val="28"/>
          <w:szCs w:val="28"/>
        </w:rPr>
        <w:t>1</w:t>
      </w:r>
      <w:r>
        <w:rPr>
          <w:rFonts w:hint="eastAsia" w:cs="宋体"/>
          <w:sz w:val="28"/>
          <w:szCs w:val="28"/>
        </w:rPr>
        <w:t>、若分委会专家组认可专家评议意见，则责成导师指导论文作者在规定期限内（一般为</w:t>
      </w:r>
      <w:r>
        <w:rPr>
          <w:sz w:val="28"/>
          <w:szCs w:val="28"/>
        </w:rPr>
        <w:t>1-- 6</w:t>
      </w:r>
      <w:r>
        <w:rPr>
          <w:rFonts w:hint="eastAsia" w:cs="宋体"/>
          <w:sz w:val="28"/>
          <w:szCs w:val="28"/>
        </w:rPr>
        <w:t>个月）对学位论文作出认真修改并提交校学位办，由学位办重新组织“双盲”送审。</w:t>
      </w:r>
      <w:r>
        <w:rPr>
          <w:rFonts w:hint="eastAsia" w:cs="宋体"/>
          <w:sz w:val="28"/>
          <w:szCs w:val="28"/>
          <w:lang w:eastAsia="zh-CN"/>
        </w:rPr>
        <w:t>当重新组织的“双盲”送审结果累计达到博士</w:t>
      </w:r>
      <w:r>
        <w:rPr>
          <w:rFonts w:hint="eastAsia" w:cs="宋体"/>
          <w:sz w:val="28"/>
          <w:szCs w:val="28"/>
          <w:lang w:val="en-US" w:eastAsia="zh-CN"/>
        </w:rPr>
        <w:t>3篇次、硕士2篇次</w:t>
      </w:r>
      <w:r>
        <w:rPr>
          <w:rFonts w:hint="eastAsia" w:cs="宋体"/>
          <w:sz w:val="28"/>
          <w:szCs w:val="28"/>
          <w:lang w:eastAsia="zh-CN"/>
        </w:rPr>
        <w:t>不合格情况时，</w:t>
      </w:r>
      <w:r>
        <w:rPr>
          <w:rFonts w:hint="eastAsia" w:ascii="Arial" w:hAnsi="Arial" w:cs="Arial"/>
          <w:sz w:val="28"/>
          <w:szCs w:val="28"/>
          <w:lang w:val="en-US" w:eastAsia="zh-CN"/>
        </w:rPr>
        <w:t>将撤销已授学位论文作者的学位，对于未毕业的研究生将终止其培养。</w:t>
      </w:r>
    </w:p>
    <w:p>
      <w:pPr>
        <w:snapToGrid w:val="0"/>
        <w:spacing w:line="360" w:lineRule="auto"/>
        <w:ind w:firstLine="31680" w:firstLineChars="200"/>
        <w:jc w:val="left"/>
        <w:rPr>
          <w:rFonts w:hint="eastAsia" w:cs="宋体"/>
          <w:sz w:val="28"/>
          <w:szCs w:val="28"/>
        </w:rPr>
      </w:pPr>
      <w:r>
        <w:rPr>
          <w:sz w:val="28"/>
          <w:szCs w:val="28"/>
        </w:rPr>
        <w:t>2</w:t>
      </w:r>
      <w:r>
        <w:rPr>
          <w:rFonts w:hint="eastAsia" w:cs="宋体"/>
          <w:sz w:val="28"/>
          <w:szCs w:val="28"/>
        </w:rPr>
        <w:t>、若分委会专家组不认可专家评议意见，则可向校学位办提出复议申请，或作出同意答辩的决议（</w:t>
      </w:r>
      <w:r>
        <w:rPr>
          <w:rFonts w:hint="eastAsia" w:cs="宋体"/>
          <w:sz w:val="28"/>
          <w:szCs w:val="28"/>
          <w:lang w:eastAsia="zh-CN"/>
        </w:rPr>
        <w:t>此情况</w:t>
      </w:r>
      <w:r>
        <w:rPr>
          <w:rFonts w:hint="eastAsia" w:cs="宋体"/>
          <w:sz w:val="28"/>
          <w:szCs w:val="28"/>
        </w:rPr>
        <w:t>仅限</w:t>
      </w:r>
      <w:r>
        <w:rPr>
          <w:rFonts w:hint="eastAsia" w:cs="宋体"/>
          <w:sz w:val="28"/>
          <w:szCs w:val="28"/>
          <w:lang w:eastAsia="zh-CN"/>
        </w:rPr>
        <w:t>由</w:t>
      </w:r>
      <w:r>
        <w:rPr>
          <w:rFonts w:hint="eastAsia" w:cs="宋体"/>
          <w:sz w:val="28"/>
          <w:szCs w:val="28"/>
        </w:rPr>
        <w:t>校学位办组织的硕士学位论文抽检</w:t>
      </w:r>
      <w:r>
        <w:rPr>
          <w:rFonts w:hint="eastAsia" w:cs="宋体"/>
          <w:sz w:val="28"/>
          <w:szCs w:val="28"/>
          <w:lang w:eastAsia="zh-CN"/>
        </w:rPr>
        <w:t>评议中出现一篇次不合格而</w:t>
      </w:r>
      <w:r>
        <w:rPr>
          <w:rFonts w:hint="eastAsia" w:cs="宋体"/>
          <w:sz w:val="28"/>
          <w:szCs w:val="28"/>
        </w:rPr>
        <w:t>学院送审的专家评议结果全部为“合格”的情况），但本条款每年每学院限用</w:t>
      </w:r>
      <w:r>
        <w:rPr>
          <w:rFonts w:hint="eastAsia"/>
          <w:sz w:val="28"/>
          <w:szCs w:val="28"/>
          <w:lang w:eastAsia="zh-CN"/>
        </w:rPr>
        <w:t>不超过</w:t>
      </w:r>
      <w:r>
        <w:rPr>
          <w:sz w:val="28"/>
          <w:szCs w:val="28"/>
        </w:rPr>
        <w:t>3</w:t>
      </w:r>
      <w:r>
        <w:rPr>
          <w:rFonts w:hint="eastAsia" w:cs="宋体"/>
          <w:sz w:val="28"/>
          <w:szCs w:val="28"/>
        </w:rPr>
        <w:t>次。学位论文复议按《江苏大学研究生学位论文“盲审”工作暂行办法》规定办理。</w:t>
      </w:r>
    </w:p>
    <w:p>
      <w:pPr>
        <w:snapToGrid w:val="0"/>
        <w:spacing w:line="360" w:lineRule="auto"/>
        <w:ind w:firstLine="31680" w:firstLineChars="200"/>
        <w:jc w:val="left"/>
        <w:rPr>
          <w:rFonts w:cs="Times New Roman"/>
          <w:sz w:val="28"/>
          <w:szCs w:val="28"/>
        </w:rPr>
      </w:pPr>
      <w:r>
        <w:rPr>
          <w:rFonts w:hint="eastAsia" w:cs="宋体"/>
          <w:sz w:val="28"/>
          <w:szCs w:val="28"/>
          <w:lang w:eastAsia="zh-CN"/>
        </w:rPr>
        <w:t>凡</w:t>
      </w:r>
      <w:r>
        <w:rPr>
          <w:rFonts w:hint="eastAsia" w:cs="宋体"/>
          <w:sz w:val="28"/>
          <w:szCs w:val="28"/>
        </w:rPr>
        <w:t>分委会专家组作出</w:t>
      </w:r>
      <w:r>
        <w:rPr>
          <w:rFonts w:hint="eastAsia" w:cs="宋体"/>
          <w:sz w:val="28"/>
          <w:szCs w:val="28"/>
          <w:lang w:eastAsia="zh-CN"/>
        </w:rPr>
        <w:t>不认可校学位办抽检评议中出现的一份不合格评议结果而作出</w:t>
      </w:r>
      <w:r>
        <w:rPr>
          <w:rFonts w:hint="eastAsia" w:cs="宋体"/>
          <w:sz w:val="28"/>
          <w:szCs w:val="28"/>
        </w:rPr>
        <w:t>同意</w:t>
      </w:r>
      <w:r>
        <w:rPr>
          <w:rFonts w:hint="eastAsia" w:cs="宋体"/>
          <w:sz w:val="28"/>
          <w:szCs w:val="28"/>
          <w:lang w:eastAsia="zh-CN"/>
        </w:rPr>
        <w:t>学位论文作者</w:t>
      </w:r>
      <w:r>
        <w:rPr>
          <w:rFonts w:hint="eastAsia" w:cs="宋体"/>
          <w:sz w:val="28"/>
          <w:szCs w:val="28"/>
        </w:rPr>
        <w:t>答辩决议的，其学位论文</w:t>
      </w:r>
      <w:r>
        <w:rPr>
          <w:rFonts w:hint="eastAsia" w:cs="宋体"/>
          <w:sz w:val="28"/>
          <w:szCs w:val="28"/>
          <w:lang w:eastAsia="zh-CN"/>
        </w:rPr>
        <w:t>送审及</w:t>
      </w:r>
      <w:r>
        <w:rPr>
          <w:rFonts w:hint="eastAsia" w:cs="宋体"/>
          <w:sz w:val="28"/>
          <w:szCs w:val="28"/>
        </w:rPr>
        <w:t>抽检评议</w:t>
      </w:r>
      <w:r>
        <w:rPr>
          <w:rFonts w:hint="eastAsia" w:cs="宋体"/>
          <w:sz w:val="28"/>
          <w:szCs w:val="28"/>
          <w:lang w:eastAsia="zh-CN"/>
        </w:rPr>
        <w:t>具体</w:t>
      </w:r>
      <w:r>
        <w:rPr>
          <w:rFonts w:hint="eastAsia" w:cs="宋体"/>
          <w:sz w:val="28"/>
          <w:szCs w:val="28"/>
        </w:rPr>
        <w:t>情况</w:t>
      </w:r>
      <w:r>
        <w:rPr>
          <w:rFonts w:hint="eastAsia" w:cs="宋体"/>
          <w:sz w:val="28"/>
          <w:szCs w:val="28"/>
          <w:lang w:eastAsia="zh-CN"/>
        </w:rPr>
        <w:t>均</w:t>
      </w:r>
      <w:r>
        <w:rPr>
          <w:rFonts w:hint="eastAsia" w:cs="宋体"/>
          <w:sz w:val="28"/>
          <w:szCs w:val="28"/>
        </w:rPr>
        <w:t>将在校学位评定委员会会议上进行通报。</w:t>
      </w:r>
    </w:p>
    <w:p>
      <w:pPr>
        <w:snapToGrid w:val="0"/>
        <w:spacing w:line="360" w:lineRule="auto"/>
        <w:ind w:firstLine="31680" w:firstLineChars="200"/>
        <w:jc w:val="left"/>
        <w:rPr>
          <w:rFonts w:cs="Times New Roman"/>
          <w:sz w:val="28"/>
          <w:szCs w:val="28"/>
        </w:rPr>
      </w:pPr>
      <w:r>
        <w:rPr>
          <w:rFonts w:hint="eastAsia" w:cs="宋体"/>
          <w:sz w:val="28"/>
          <w:szCs w:val="28"/>
        </w:rPr>
        <w:t>相关分委会在收到校学位办关于研究生学位论文抽检评议有不合格意见的书面通知后，应在</w:t>
      </w:r>
      <w:r>
        <w:rPr>
          <w:sz w:val="28"/>
          <w:szCs w:val="28"/>
        </w:rPr>
        <w:t>15</w:t>
      </w:r>
      <w:r>
        <w:rPr>
          <w:rFonts w:hint="eastAsia" w:cs="宋体"/>
          <w:sz w:val="28"/>
          <w:szCs w:val="28"/>
        </w:rPr>
        <w:t>天之内，以书面形式向校学位办提出符合本办法的处理意见。</w:t>
      </w:r>
    </w:p>
    <w:p>
      <w:pPr>
        <w:numPr>
          <w:ilvl w:val="0"/>
          <w:numId w:val="1"/>
        </w:numPr>
        <w:snapToGrid w:val="0"/>
        <w:spacing w:line="360" w:lineRule="auto"/>
        <w:jc w:val="left"/>
        <w:rPr>
          <w:rFonts w:hint="eastAsia" w:cs="宋体"/>
          <w:sz w:val="28"/>
          <w:szCs w:val="28"/>
        </w:rPr>
      </w:pPr>
      <w:r>
        <w:rPr>
          <w:rFonts w:hint="eastAsia" w:cs="宋体"/>
          <w:sz w:val="28"/>
          <w:szCs w:val="28"/>
        </w:rPr>
        <w:t>以上所涉及费用均由学位论文作者</w:t>
      </w:r>
      <w:r>
        <w:rPr>
          <w:rFonts w:hint="eastAsia" w:cs="宋体"/>
          <w:sz w:val="28"/>
          <w:szCs w:val="28"/>
          <w:lang w:eastAsia="zh-CN"/>
        </w:rPr>
        <w:t>或导师</w:t>
      </w:r>
      <w:r>
        <w:rPr>
          <w:rFonts w:hint="eastAsia" w:cs="宋体"/>
          <w:sz w:val="28"/>
          <w:szCs w:val="28"/>
        </w:rPr>
        <w:t>自理。</w:t>
      </w:r>
    </w:p>
    <w:p>
      <w:pPr>
        <w:numPr>
          <w:ilvl w:val="0"/>
          <w:numId w:val="1"/>
        </w:numPr>
        <w:snapToGrid w:val="0"/>
        <w:spacing w:line="360" w:lineRule="auto"/>
        <w:jc w:val="left"/>
        <w:rPr>
          <w:rFonts w:hint="eastAsia" w:cs="宋体"/>
          <w:sz w:val="28"/>
          <w:szCs w:val="28"/>
        </w:rPr>
      </w:pPr>
      <w:r>
        <w:rPr>
          <w:rFonts w:hint="eastAsia" w:cs="宋体"/>
          <w:sz w:val="28"/>
          <w:szCs w:val="28"/>
        </w:rPr>
        <w:t>凡出现一份抽检评议</w:t>
      </w:r>
      <w:r>
        <w:rPr>
          <w:rFonts w:hint="eastAsia" w:cs="宋体"/>
          <w:sz w:val="28"/>
          <w:szCs w:val="28"/>
          <w:lang w:eastAsia="zh-CN"/>
        </w:rPr>
        <w:t>终审</w:t>
      </w:r>
      <w:r>
        <w:rPr>
          <w:rFonts w:hint="eastAsia" w:cs="宋体"/>
          <w:sz w:val="28"/>
          <w:szCs w:val="28"/>
        </w:rPr>
        <w:t>不合格的学位论文，其指导教师的招生</w:t>
      </w:r>
    </w:p>
    <w:p>
      <w:pPr>
        <w:numPr>
          <w:ilvl w:val="0"/>
          <w:numId w:val="0"/>
        </w:numPr>
        <w:snapToGrid w:val="0"/>
        <w:spacing w:line="360" w:lineRule="auto"/>
        <w:jc w:val="left"/>
        <w:rPr>
          <w:rFonts w:hint="eastAsia" w:cs="宋体"/>
          <w:sz w:val="28"/>
          <w:szCs w:val="28"/>
        </w:rPr>
      </w:pPr>
      <w:r>
        <w:rPr>
          <w:rFonts w:hint="eastAsia" w:cs="宋体"/>
          <w:sz w:val="28"/>
          <w:szCs w:val="28"/>
        </w:rPr>
        <w:t>及导师资格按《江苏大学研究生指导教师条例》规定执行</w:t>
      </w:r>
      <w:r>
        <w:rPr>
          <w:rFonts w:hint="eastAsia" w:cs="宋体"/>
          <w:sz w:val="28"/>
          <w:szCs w:val="28"/>
          <w:lang w:eastAsia="zh-CN"/>
        </w:rPr>
        <w:t>，其指导教师的毕业</w:t>
      </w:r>
      <w:r>
        <w:rPr>
          <w:rFonts w:hint="eastAsia" w:cs="宋体"/>
          <w:sz w:val="28"/>
          <w:szCs w:val="28"/>
        </w:rPr>
        <w:t>研究生将被连续三年跟踪抽检，所在学科的毕业研究生论文将被加倍抽查。</w:t>
      </w:r>
    </w:p>
    <w:p>
      <w:pPr>
        <w:numPr>
          <w:ilvl w:val="0"/>
          <w:numId w:val="0"/>
        </w:numPr>
        <w:snapToGrid w:val="0"/>
        <w:spacing w:line="360" w:lineRule="auto"/>
        <w:jc w:val="left"/>
        <w:rPr>
          <w:rFonts w:hint="eastAsia" w:cs="宋体"/>
          <w:sz w:val="28"/>
          <w:szCs w:val="28"/>
          <w:lang w:eastAsia="zh-CN"/>
        </w:rPr>
      </w:pPr>
      <w:r>
        <w:rPr>
          <w:rFonts w:hint="eastAsia" w:cs="宋体"/>
          <w:sz w:val="28"/>
          <w:szCs w:val="28"/>
          <w:lang w:val="en-US" w:eastAsia="zh-CN"/>
        </w:rPr>
        <w:t xml:space="preserve">    </w:t>
      </w:r>
      <w:r>
        <w:rPr>
          <w:rFonts w:hint="eastAsia" w:cs="宋体"/>
          <w:b/>
          <w:bCs/>
          <w:sz w:val="28"/>
          <w:szCs w:val="28"/>
          <w:lang w:val="en-US" w:eastAsia="zh-CN"/>
        </w:rPr>
        <w:t>第七条</w:t>
      </w:r>
      <w:r>
        <w:rPr>
          <w:rFonts w:hint="eastAsia" w:cs="宋体"/>
          <w:sz w:val="28"/>
          <w:szCs w:val="28"/>
          <w:lang w:val="en-US" w:eastAsia="zh-CN"/>
        </w:rPr>
        <w:t xml:space="preserve">  </w:t>
      </w:r>
      <w:r>
        <w:rPr>
          <w:rFonts w:hint="eastAsia" w:cs="宋体"/>
          <w:sz w:val="28"/>
          <w:szCs w:val="28"/>
        </w:rPr>
        <w:t>凡出现两份抽检评议终审不合格或经复</w:t>
      </w:r>
      <w:r>
        <w:rPr>
          <w:rFonts w:hint="eastAsia" w:cs="宋体"/>
          <w:sz w:val="28"/>
          <w:szCs w:val="28"/>
          <w:lang w:eastAsia="zh-CN"/>
        </w:rPr>
        <w:t>议</w:t>
      </w:r>
      <w:r>
        <w:rPr>
          <w:rFonts w:hint="eastAsia" w:cs="宋体"/>
          <w:sz w:val="28"/>
          <w:szCs w:val="28"/>
        </w:rPr>
        <w:t>仍评议不合格的学位论文，则按《江苏大学研究生指导教师条例》规定对其指导教师进行相应处理。同时，对该学科给</w:t>
      </w:r>
      <w:r>
        <w:rPr>
          <w:rFonts w:hint="eastAsia" w:cs="宋体"/>
          <w:sz w:val="28"/>
          <w:szCs w:val="28"/>
          <w:lang w:eastAsia="zh-CN"/>
        </w:rPr>
        <w:t>出</w:t>
      </w:r>
      <w:r>
        <w:rPr>
          <w:rFonts w:hint="eastAsia" w:cs="宋体"/>
          <w:sz w:val="28"/>
          <w:szCs w:val="28"/>
        </w:rPr>
        <w:t>警告，减少研究生招生计划</w:t>
      </w:r>
      <w:r>
        <w:rPr>
          <w:rFonts w:hint="eastAsia" w:cs="宋体"/>
          <w:sz w:val="28"/>
          <w:szCs w:val="28"/>
          <w:lang w:eastAsia="zh-CN"/>
        </w:rPr>
        <w:t>或暂停招生以限期整顿等处罚。具体如下：</w:t>
      </w:r>
    </w:p>
    <w:p>
      <w:pPr>
        <w:snapToGrid w:val="0"/>
        <w:spacing w:line="360" w:lineRule="auto"/>
        <w:ind w:firstLine="31680" w:firstLineChars="200"/>
        <w:jc w:val="left"/>
        <w:rPr>
          <w:rFonts w:hint="eastAsia" w:cs="宋体"/>
          <w:sz w:val="28"/>
          <w:szCs w:val="28"/>
          <w:lang w:val="en-US" w:eastAsia="zh-CN"/>
        </w:rPr>
      </w:pPr>
      <w:r>
        <w:rPr>
          <w:rFonts w:hint="eastAsia" w:cs="宋体"/>
          <w:sz w:val="28"/>
          <w:szCs w:val="28"/>
          <w:lang w:val="en-US" w:eastAsia="zh-CN"/>
        </w:rPr>
        <w:t xml:space="preserve">  1.博士学位授权学科</w:t>
      </w:r>
    </w:p>
    <w:p>
      <w:pPr>
        <w:numPr>
          <w:ilvl w:val="0"/>
          <w:numId w:val="2"/>
        </w:numPr>
        <w:snapToGrid w:val="0"/>
        <w:spacing w:line="360" w:lineRule="auto"/>
        <w:ind w:firstLine="31680" w:firstLineChars="200"/>
        <w:jc w:val="left"/>
        <w:rPr>
          <w:rFonts w:hint="eastAsia" w:ascii="Arial" w:hAnsi="Arial" w:cs="Arial"/>
          <w:sz w:val="28"/>
          <w:szCs w:val="28"/>
          <w:lang w:val="en-US" w:eastAsia="zh-CN"/>
        </w:rPr>
      </w:pPr>
      <w:r>
        <w:rPr>
          <w:rFonts w:hint="eastAsia" w:cs="宋体"/>
          <w:sz w:val="28"/>
          <w:szCs w:val="28"/>
          <w:lang w:val="en-US" w:eastAsia="zh-CN"/>
        </w:rPr>
        <w:t>累计三年内，该学科出现毕业博士研究生学位论文抽检评议终审不合格篇次数（用字母N表示）N</w:t>
      </w:r>
      <w:r>
        <w:rPr>
          <w:rFonts w:hint="default" w:ascii="Arial" w:hAnsi="Arial" w:cs="Arial"/>
          <w:sz w:val="28"/>
          <w:szCs w:val="28"/>
          <w:lang w:val="en-US" w:eastAsia="zh-CN"/>
        </w:rPr>
        <w:t>≥</w:t>
      </w:r>
      <w:r>
        <w:rPr>
          <w:rFonts w:hint="eastAsia" w:ascii="Arial" w:hAnsi="Arial" w:cs="Arial"/>
          <w:sz w:val="28"/>
          <w:szCs w:val="28"/>
          <w:lang w:val="en-US" w:eastAsia="zh-CN"/>
        </w:rPr>
        <w:t>2篇次，则次年，学校将减少该学科的博士研究生招生指标，其指标减少数（用字母P表示）计算公式：</w:t>
      </w:r>
    </w:p>
    <w:p>
      <w:pPr>
        <w:numPr>
          <w:ilvl w:val="0"/>
          <w:numId w:val="0"/>
        </w:numPr>
        <w:snapToGrid w:val="0"/>
        <w:spacing w:line="360" w:lineRule="auto"/>
        <w:jc w:val="left"/>
        <w:rPr>
          <w:rFonts w:hint="eastAsia" w:ascii="Arial" w:hAnsi="Arial" w:cs="Arial"/>
          <w:sz w:val="28"/>
          <w:szCs w:val="28"/>
          <w:lang w:val="en-US" w:eastAsia="zh-CN"/>
        </w:rPr>
      </w:pPr>
      <w:r>
        <w:rPr>
          <w:rFonts w:hint="eastAsia" w:ascii="Arial" w:hAnsi="Arial" w:cs="Arial"/>
          <w:sz w:val="28"/>
          <w:szCs w:val="28"/>
          <w:lang w:val="en-US" w:eastAsia="zh-CN"/>
        </w:rPr>
        <w:t xml:space="preserve">          P=（N-1）</w:t>
      </w:r>
      <w:r>
        <w:rPr>
          <w:rFonts w:hint="default" w:ascii="Arial" w:hAnsi="Arial" w:cs="Arial"/>
          <w:sz w:val="28"/>
          <w:szCs w:val="28"/>
          <w:lang w:val="en-US" w:eastAsia="zh-CN"/>
        </w:rPr>
        <w:t>×</w:t>
      </w:r>
      <w:r>
        <w:rPr>
          <w:rFonts w:hint="eastAsia" w:ascii="Arial" w:hAnsi="Arial" w:cs="Arial"/>
          <w:sz w:val="28"/>
          <w:szCs w:val="28"/>
          <w:lang w:val="en-US" w:eastAsia="zh-CN"/>
        </w:rPr>
        <w:t>10%</w:t>
      </w:r>
      <w:r>
        <w:rPr>
          <w:rFonts w:hint="default" w:ascii="Arial" w:hAnsi="Arial" w:cs="Arial"/>
          <w:sz w:val="28"/>
          <w:szCs w:val="28"/>
          <w:lang w:val="en-US" w:eastAsia="zh-CN"/>
        </w:rPr>
        <w:t>×</w:t>
      </w:r>
      <w:r>
        <w:rPr>
          <w:rFonts w:hint="eastAsia" w:ascii="Arial" w:hAnsi="Arial" w:cs="Arial"/>
          <w:sz w:val="28"/>
          <w:szCs w:val="28"/>
          <w:lang w:val="en-US" w:eastAsia="zh-CN"/>
        </w:rPr>
        <w:t>招生指标数</w:t>
      </w:r>
    </w:p>
    <w:p>
      <w:pPr>
        <w:numPr>
          <w:ilvl w:val="0"/>
          <w:numId w:val="0"/>
        </w:numPr>
        <w:snapToGrid w:val="0"/>
        <w:spacing w:line="360" w:lineRule="auto"/>
        <w:jc w:val="left"/>
        <w:rPr>
          <w:rFonts w:hint="eastAsia" w:ascii="Arial" w:hAnsi="Arial" w:cs="Arial"/>
          <w:sz w:val="28"/>
          <w:szCs w:val="28"/>
          <w:lang w:val="en-US" w:eastAsia="zh-CN"/>
        </w:rPr>
      </w:pPr>
      <w:r>
        <w:rPr>
          <w:rFonts w:hint="eastAsia" w:ascii="Arial" w:hAnsi="Arial" w:cs="Arial"/>
          <w:sz w:val="28"/>
          <w:szCs w:val="28"/>
          <w:lang w:val="en-US" w:eastAsia="zh-CN"/>
        </w:rPr>
        <w:t xml:space="preserve">    同时，对该学科进行校内通报批评。</w:t>
      </w:r>
    </w:p>
    <w:p>
      <w:pPr>
        <w:snapToGrid w:val="0"/>
        <w:spacing w:line="360" w:lineRule="auto"/>
        <w:ind w:firstLine="31680" w:firstLineChars="200"/>
        <w:jc w:val="left"/>
        <w:rPr>
          <w:rFonts w:hint="eastAsia" w:ascii="Arial" w:hAnsi="Arial" w:cs="Arial"/>
          <w:sz w:val="28"/>
          <w:szCs w:val="28"/>
          <w:lang w:val="en-US" w:eastAsia="zh-CN"/>
        </w:rPr>
      </w:pPr>
      <w:r>
        <w:rPr>
          <w:rFonts w:hint="eastAsia" w:ascii="Arial" w:hAnsi="Arial" w:cs="Arial"/>
          <w:sz w:val="28"/>
          <w:szCs w:val="28"/>
          <w:lang w:val="en-US" w:eastAsia="zh-CN"/>
        </w:rPr>
        <w:t>（2）累计三年内，该学科出现毕业博士研究生学位论文抽检评议终审不合格篇次比例（用字母Q表示：三年内该学科出现的博士学位论文抽检评议终审不合格篇次累计数</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三年内该学科毕业博士研究生学位论文送审篇次总数</w:t>
      </w:r>
      <w:r>
        <w:rPr>
          <w:rFonts w:hint="eastAsia" w:ascii="Arial" w:hAnsi="Arial" w:cs="Arial"/>
          <w:sz w:val="28"/>
          <w:szCs w:val="28"/>
          <w:lang w:val="en-US" w:eastAsia="zh-CN"/>
        </w:rPr>
        <w:t>）Q</w:t>
      </w:r>
      <w:r>
        <w:rPr>
          <w:rFonts w:hint="default" w:ascii="Arial" w:hAnsi="Arial" w:cs="Arial"/>
          <w:sz w:val="28"/>
          <w:szCs w:val="28"/>
          <w:lang w:val="en-US" w:eastAsia="zh-CN"/>
        </w:rPr>
        <w:t>≥</w:t>
      </w:r>
      <w:r>
        <w:rPr>
          <w:rFonts w:hint="eastAsia" w:ascii="Arial" w:hAnsi="Arial" w:cs="Arial"/>
          <w:sz w:val="28"/>
          <w:szCs w:val="28"/>
          <w:lang w:val="en-US" w:eastAsia="zh-CN"/>
        </w:rPr>
        <w:t>10%时，则暂停该学科博士研究生招生一年以进行限期整顿。</w:t>
      </w:r>
    </w:p>
    <w:p>
      <w:pPr>
        <w:snapToGrid w:val="0"/>
        <w:spacing w:line="360" w:lineRule="auto"/>
        <w:ind w:firstLine="560"/>
        <w:jc w:val="left"/>
        <w:rPr>
          <w:rFonts w:hint="eastAsia" w:ascii="Arial" w:hAnsi="Arial" w:cs="Arial"/>
          <w:sz w:val="28"/>
          <w:szCs w:val="28"/>
          <w:lang w:val="en-US" w:eastAsia="zh-CN"/>
        </w:rPr>
      </w:pPr>
      <w:r>
        <w:rPr>
          <w:rFonts w:hint="eastAsia" w:ascii="Arial" w:hAnsi="Arial" w:cs="Arial"/>
          <w:sz w:val="28"/>
          <w:szCs w:val="28"/>
          <w:lang w:val="en-US" w:eastAsia="zh-CN"/>
        </w:rPr>
        <w:t>2.硕士学位授权学科</w:t>
      </w:r>
    </w:p>
    <w:p>
      <w:pPr>
        <w:snapToGrid w:val="0"/>
        <w:spacing w:line="360" w:lineRule="auto"/>
        <w:ind w:firstLine="31680" w:firstLineChars="200"/>
        <w:jc w:val="left"/>
        <w:rPr>
          <w:rFonts w:hint="eastAsia" w:ascii="Arial" w:hAnsi="Arial" w:cs="Arial"/>
          <w:sz w:val="28"/>
          <w:szCs w:val="28"/>
          <w:lang w:val="en-US" w:eastAsia="zh-CN"/>
        </w:rPr>
      </w:pPr>
      <w:r>
        <w:rPr>
          <w:rFonts w:hint="eastAsia" w:ascii="Arial" w:hAnsi="Arial" w:cs="Arial"/>
          <w:sz w:val="28"/>
          <w:szCs w:val="28"/>
          <w:lang w:val="en-US" w:eastAsia="zh-CN"/>
        </w:rPr>
        <w:t xml:space="preserve">（1）累计三年内，该学科出现硕士研究生学位论文抽检评议终审不合格篇次数（用字母n表示）n </w:t>
      </w:r>
      <w:r>
        <w:rPr>
          <w:rFonts w:hint="default" w:ascii="Arial" w:hAnsi="Arial" w:cs="Arial"/>
          <w:sz w:val="28"/>
          <w:szCs w:val="28"/>
          <w:lang w:val="en-US" w:eastAsia="zh-CN"/>
        </w:rPr>
        <w:t>≥</w:t>
      </w:r>
      <w:r>
        <w:rPr>
          <w:rFonts w:hint="eastAsia" w:ascii="Arial" w:hAnsi="Arial" w:cs="Arial"/>
          <w:sz w:val="28"/>
          <w:szCs w:val="28"/>
          <w:lang w:val="en-US" w:eastAsia="zh-CN"/>
        </w:rPr>
        <w:t>2篇次，则次年，学校将减少该学科的硕士研究生招生指标，其指标减少数（用字母p表示）计算公式：</w:t>
      </w:r>
    </w:p>
    <w:p>
      <w:pPr>
        <w:snapToGrid w:val="0"/>
        <w:spacing w:line="360" w:lineRule="auto"/>
        <w:ind w:firstLine="31680" w:firstLineChars="200"/>
        <w:jc w:val="left"/>
        <w:rPr>
          <w:rFonts w:hint="eastAsia" w:ascii="Arial" w:hAnsi="Arial" w:cs="Arial"/>
          <w:sz w:val="28"/>
          <w:szCs w:val="28"/>
          <w:lang w:val="en-US" w:eastAsia="zh-CN"/>
        </w:rPr>
      </w:pPr>
      <w:r>
        <w:rPr>
          <w:rFonts w:hint="eastAsia" w:ascii="Arial" w:hAnsi="Arial" w:cs="Arial"/>
          <w:sz w:val="28"/>
          <w:szCs w:val="28"/>
          <w:lang w:val="en-US" w:eastAsia="zh-CN"/>
        </w:rPr>
        <w:t xml:space="preserve">     p=（n-1）</w:t>
      </w:r>
      <w:r>
        <w:rPr>
          <w:rFonts w:hint="default" w:ascii="Arial" w:hAnsi="Arial" w:cs="Arial"/>
          <w:sz w:val="28"/>
          <w:szCs w:val="28"/>
          <w:lang w:val="en-US" w:eastAsia="zh-CN"/>
        </w:rPr>
        <w:t>×</w:t>
      </w:r>
      <w:r>
        <w:rPr>
          <w:rFonts w:hint="eastAsia" w:ascii="Arial" w:hAnsi="Arial" w:cs="Arial"/>
          <w:sz w:val="28"/>
          <w:szCs w:val="28"/>
          <w:lang w:val="en-US" w:eastAsia="zh-CN"/>
        </w:rPr>
        <w:t>5%</w:t>
      </w:r>
      <w:r>
        <w:rPr>
          <w:rFonts w:hint="default" w:ascii="Arial" w:hAnsi="Arial" w:cs="Arial"/>
          <w:sz w:val="28"/>
          <w:szCs w:val="28"/>
          <w:lang w:val="en-US" w:eastAsia="zh-CN"/>
        </w:rPr>
        <w:t>×</w:t>
      </w:r>
      <w:r>
        <w:rPr>
          <w:rFonts w:hint="eastAsia" w:ascii="Arial" w:hAnsi="Arial" w:cs="Arial"/>
          <w:sz w:val="28"/>
          <w:szCs w:val="28"/>
          <w:lang w:val="en-US" w:eastAsia="zh-CN"/>
        </w:rPr>
        <w:t>招生指标数</w:t>
      </w:r>
    </w:p>
    <w:p>
      <w:pPr>
        <w:snapToGrid w:val="0"/>
        <w:spacing w:line="360" w:lineRule="auto"/>
        <w:ind w:firstLine="31680" w:firstLineChars="200"/>
        <w:jc w:val="left"/>
        <w:rPr>
          <w:rFonts w:hint="eastAsia" w:ascii="Arial" w:hAnsi="Arial" w:cs="Arial"/>
          <w:sz w:val="28"/>
          <w:szCs w:val="28"/>
          <w:lang w:val="en-US" w:eastAsia="zh-CN"/>
        </w:rPr>
      </w:pPr>
      <w:r>
        <w:rPr>
          <w:rFonts w:hint="eastAsia" w:ascii="Arial" w:hAnsi="Arial" w:cs="Arial"/>
          <w:sz w:val="28"/>
          <w:szCs w:val="28"/>
          <w:lang w:val="en-US" w:eastAsia="zh-CN"/>
        </w:rPr>
        <w:t>同时，对该学科进行校内通报批评。</w:t>
      </w:r>
    </w:p>
    <w:p>
      <w:pPr>
        <w:numPr>
          <w:ilvl w:val="0"/>
          <w:numId w:val="2"/>
        </w:numPr>
        <w:snapToGrid w:val="0"/>
        <w:spacing w:line="360" w:lineRule="auto"/>
        <w:ind w:firstLine="31680" w:firstLineChars="200"/>
        <w:jc w:val="left"/>
        <w:rPr>
          <w:rFonts w:hint="eastAsia" w:ascii="Arial" w:hAnsi="Arial" w:cs="Arial"/>
          <w:sz w:val="28"/>
          <w:szCs w:val="28"/>
          <w:lang w:val="en-US" w:eastAsia="zh-CN"/>
        </w:rPr>
      </w:pPr>
      <w:r>
        <w:rPr>
          <w:rFonts w:hint="eastAsia" w:ascii="Arial" w:hAnsi="Arial" w:cs="Arial"/>
          <w:sz w:val="28"/>
          <w:szCs w:val="28"/>
          <w:lang w:val="en-US" w:eastAsia="zh-CN"/>
        </w:rPr>
        <w:t>累计三年内，该学科出现硕士研究生学位论文抽检评议终审不合格篇次比例（用字母q表示：三年内该学科出现的硕士学位论文抽检评议终审不合格篇次累计数/三年内该学科毕业硕士研究生学位论文送审篇次总数）q</w:t>
      </w:r>
      <w:r>
        <w:rPr>
          <w:rFonts w:hint="default" w:ascii="Arial" w:hAnsi="Arial" w:cs="Arial"/>
          <w:sz w:val="28"/>
          <w:szCs w:val="28"/>
          <w:lang w:val="en-US" w:eastAsia="zh-CN"/>
        </w:rPr>
        <w:t>≥</w:t>
      </w:r>
      <w:r>
        <w:rPr>
          <w:rFonts w:hint="eastAsia" w:ascii="Arial" w:hAnsi="Arial" w:cs="Arial"/>
          <w:sz w:val="28"/>
          <w:szCs w:val="28"/>
          <w:lang w:val="en-US" w:eastAsia="zh-CN"/>
        </w:rPr>
        <w:t>5%时，则暂停该学科硕士研究生招生一年以进行限期整顿。</w:t>
      </w:r>
    </w:p>
    <w:p>
      <w:pPr>
        <w:numPr>
          <w:ilvl w:val="0"/>
          <w:numId w:val="0"/>
        </w:numPr>
        <w:snapToGrid w:val="0"/>
        <w:spacing w:line="360" w:lineRule="auto"/>
        <w:jc w:val="left"/>
        <w:rPr>
          <w:rFonts w:hint="eastAsia" w:cs="宋体"/>
          <w:sz w:val="28"/>
          <w:szCs w:val="28"/>
          <w:lang w:val="en-US" w:eastAsia="zh-CN"/>
        </w:rPr>
      </w:pPr>
      <w:r>
        <w:rPr>
          <w:rFonts w:hint="eastAsia" w:ascii="Arial" w:hAnsi="Arial" w:cs="Arial"/>
          <w:sz w:val="28"/>
          <w:szCs w:val="28"/>
          <w:lang w:val="en-US" w:eastAsia="zh-CN"/>
        </w:rPr>
        <w:t xml:space="preserve">    </w:t>
      </w:r>
      <w:r>
        <w:rPr>
          <w:rFonts w:hint="eastAsia" w:ascii="Arial" w:hAnsi="Arial" w:cs="Arial"/>
          <w:b/>
          <w:bCs/>
          <w:sz w:val="28"/>
          <w:szCs w:val="28"/>
          <w:lang w:val="en-US" w:eastAsia="zh-CN"/>
        </w:rPr>
        <w:t xml:space="preserve">第八条  </w:t>
      </w:r>
      <w:r>
        <w:rPr>
          <w:rFonts w:hint="eastAsia" w:cs="宋体"/>
          <w:sz w:val="28"/>
          <w:szCs w:val="28"/>
          <w:lang w:val="en-US" w:eastAsia="zh-CN"/>
        </w:rPr>
        <w:t>本办法自下达之日起实施。</w:t>
      </w:r>
    </w:p>
    <w:p>
      <w:pPr>
        <w:snapToGrid w:val="0"/>
        <w:spacing w:line="360" w:lineRule="auto"/>
        <w:ind w:firstLine="31680" w:firstLineChars="200"/>
        <w:jc w:val="left"/>
        <w:rPr>
          <w:rFonts w:cs="Times New Roman"/>
          <w:sz w:val="24"/>
          <w:szCs w:val="24"/>
        </w:rPr>
      </w:pPr>
      <w:r>
        <w:rPr>
          <w:rFonts w:hint="eastAsia" w:cs="宋体"/>
          <w:b/>
          <w:bCs/>
          <w:sz w:val="28"/>
          <w:szCs w:val="28"/>
        </w:rPr>
        <w:t>第九条</w:t>
      </w:r>
      <w:r>
        <w:rPr>
          <w:sz w:val="28"/>
          <w:szCs w:val="28"/>
        </w:rPr>
        <w:t xml:space="preserve">  </w:t>
      </w:r>
      <w:r>
        <w:rPr>
          <w:rFonts w:hint="eastAsia" w:cs="宋体"/>
          <w:sz w:val="28"/>
          <w:szCs w:val="28"/>
        </w:rPr>
        <w:t>本办法由研究生院负责解释。</w:t>
      </w:r>
    </w:p>
    <w:sectPr>
      <w:pgSz w:w="11906" w:h="16838"/>
      <w:pgMar w:top="1418"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altName w:val="宋体"/>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42796"/>
    <w:multiLevelType w:val="multilevel"/>
    <w:tmpl w:val="29642796"/>
    <w:lvl w:ilvl="0" w:tentative="0">
      <w:start w:val="5"/>
      <w:numFmt w:val="japaneseCounting"/>
      <w:lvlText w:val="第%1条"/>
      <w:lvlJc w:val="left"/>
      <w:pPr>
        <w:tabs>
          <w:tab w:val="left" w:pos="1702"/>
        </w:tabs>
        <w:ind w:left="1702" w:hanging="1140"/>
      </w:pPr>
      <w:rPr>
        <w:rFonts w:hint="default"/>
        <w:b/>
        <w:bCs/>
      </w:rPr>
    </w:lvl>
    <w:lvl w:ilvl="1" w:tentative="0">
      <w:start w:val="1"/>
      <w:numFmt w:val="lowerLetter"/>
      <w:lvlText w:val="%2)"/>
      <w:lvlJc w:val="left"/>
      <w:pPr>
        <w:tabs>
          <w:tab w:val="left" w:pos="1402"/>
        </w:tabs>
        <w:ind w:left="1402" w:hanging="420"/>
      </w:pPr>
    </w:lvl>
    <w:lvl w:ilvl="2" w:tentative="0">
      <w:start w:val="1"/>
      <w:numFmt w:val="lowerRoman"/>
      <w:lvlText w:val="%3."/>
      <w:lvlJc w:val="right"/>
      <w:pPr>
        <w:tabs>
          <w:tab w:val="left" w:pos="1822"/>
        </w:tabs>
        <w:ind w:left="1822" w:hanging="420"/>
      </w:pPr>
    </w:lvl>
    <w:lvl w:ilvl="3" w:tentative="0">
      <w:start w:val="1"/>
      <w:numFmt w:val="decimal"/>
      <w:lvlText w:val="%4."/>
      <w:lvlJc w:val="left"/>
      <w:pPr>
        <w:tabs>
          <w:tab w:val="left" w:pos="2242"/>
        </w:tabs>
        <w:ind w:left="2242" w:hanging="420"/>
      </w:pPr>
    </w:lvl>
    <w:lvl w:ilvl="4" w:tentative="0">
      <w:start w:val="1"/>
      <w:numFmt w:val="lowerLetter"/>
      <w:lvlText w:val="%5)"/>
      <w:lvlJc w:val="left"/>
      <w:pPr>
        <w:tabs>
          <w:tab w:val="left" w:pos="2662"/>
        </w:tabs>
        <w:ind w:left="2662" w:hanging="420"/>
      </w:pPr>
    </w:lvl>
    <w:lvl w:ilvl="5" w:tentative="0">
      <w:start w:val="1"/>
      <w:numFmt w:val="lowerRoman"/>
      <w:lvlText w:val="%6."/>
      <w:lvlJc w:val="right"/>
      <w:pPr>
        <w:tabs>
          <w:tab w:val="left" w:pos="3082"/>
        </w:tabs>
        <w:ind w:left="3082" w:hanging="420"/>
      </w:pPr>
    </w:lvl>
    <w:lvl w:ilvl="6" w:tentative="0">
      <w:start w:val="1"/>
      <w:numFmt w:val="decimal"/>
      <w:lvlText w:val="%7."/>
      <w:lvlJc w:val="left"/>
      <w:pPr>
        <w:tabs>
          <w:tab w:val="left" w:pos="3502"/>
        </w:tabs>
        <w:ind w:left="3502" w:hanging="420"/>
      </w:pPr>
    </w:lvl>
    <w:lvl w:ilvl="7" w:tentative="0">
      <w:start w:val="1"/>
      <w:numFmt w:val="lowerLetter"/>
      <w:lvlText w:val="%8)"/>
      <w:lvlJc w:val="left"/>
      <w:pPr>
        <w:tabs>
          <w:tab w:val="left" w:pos="3922"/>
        </w:tabs>
        <w:ind w:left="3922" w:hanging="420"/>
      </w:pPr>
    </w:lvl>
    <w:lvl w:ilvl="8" w:tentative="0">
      <w:start w:val="1"/>
      <w:numFmt w:val="lowerRoman"/>
      <w:lvlText w:val="%9."/>
      <w:lvlJc w:val="right"/>
      <w:pPr>
        <w:tabs>
          <w:tab w:val="left" w:pos="4342"/>
        </w:tabs>
        <w:ind w:left="4342" w:hanging="420"/>
      </w:pPr>
    </w:lvl>
  </w:abstractNum>
  <w:abstractNum w:abstractNumId="1">
    <w:nsid w:val="58206445"/>
    <w:multiLevelType w:val="singleLevel"/>
    <w:tmpl w:val="58206445"/>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60"/>
    <w:rsid w:val="0000206F"/>
    <w:rsid w:val="00030F01"/>
    <w:rsid w:val="00084931"/>
    <w:rsid w:val="00096627"/>
    <w:rsid w:val="000C4236"/>
    <w:rsid w:val="00107916"/>
    <w:rsid w:val="001141BA"/>
    <w:rsid w:val="00137AC4"/>
    <w:rsid w:val="00165D69"/>
    <w:rsid w:val="001E6F47"/>
    <w:rsid w:val="0020271E"/>
    <w:rsid w:val="002B6836"/>
    <w:rsid w:val="002E382C"/>
    <w:rsid w:val="0039079B"/>
    <w:rsid w:val="003B7CF5"/>
    <w:rsid w:val="0044577E"/>
    <w:rsid w:val="00480CC3"/>
    <w:rsid w:val="004B3415"/>
    <w:rsid w:val="004B77E9"/>
    <w:rsid w:val="004E0655"/>
    <w:rsid w:val="00517E0A"/>
    <w:rsid w:val="0054001C"/>
    <w:rsid w:val="005522D6"/>
    <w:rsid w:val="0055590D"/>
    <w:rsid w:val="00584909"/>
    <w:rsid w:val="005C0482"/>
    <w:rsid w:val="005D15A3"/>
    <w:rsid w:val="00610C35"/>
    <w:rsid w:val="0061210F"/>
    <w:rsid w:val="00660015"/>
    <w:rsid w:val="007264EC"/>
    <w:rsid w:val="00751D38"/>
    <w:rsid w:val="00754B52"/>
    <w:rsid w:val="007E1DC9"/>
    <w:rsid w:val="007F19E3"/>
    <w:rsid w:val="008726AC"/>
    <w:rsid w:val="009077D6"/>
    <w:rsid w:val="00931406"/>
    <w:rsid w:val="009355C0"/>
    <w:rsid w:val="00956464"/>
    <w:rsid w:val="00966768"/>
    <w:rsid w:val="009E7124"/>
    <w:rsid w:val="00A06C27"/>
    <w:rsid w:val="00A268AC"/>
    <w:rsid w:val="00A416BF"/>
    <w:rsid w:val="00AF1FF3"/>
    <w:rsid w:val="00B53E44"/>
    <w:rsid w:val="00B569D3"/>
    <w:rsid w:val="00B57D58"/>
    <w:rsid w:val="00B6670C"/>
    <w:rsid w:val="00BA101E"/>
    <w:rsid w:val="00BD7AFF"/>
    <w:rsid w:val="00C06029"/>
    <w:rsid w:val="00C33900"/>
    <w:rsid w:val="00CB097C"/>
    <w:rsid w:val="00CD381A"/>
    <w:rsid w:val="00D50091"/>
    <w:rsid w:val="00D8008A"/>
    <w:rsid w:val="00DF6438"/>
    <w:rsid w:val="00E25DCD"/>
    <w:rsid w:val="00E4488C"/>
    <w:rsid w:val="00E51860"/>
    <w:rsid w:val="00E72A07"/>
    <w:rsid w:val="00F50061"/>
    <w:rsid w:val="0E7F3DE8"/>
    <w:rsid w:val="181E7B75"/>
    <w:rsid w:val="19406175"/>
    <w:rsid w:val="24FA7BA3"/>
    <w:rsid w:val="25F02399"/>
    <w:rsid w:val="27EC31C7"/>
    <w:rsid w:val="29523FAD"/>
    <w:rsid w:val="2B7C0134"/>
    <w:rsid w:val="377C11C9"/>
    <w:rsid w:val="397B63DE"/>
    <w:rsid w:val="3FFF316A"/>
    <w:rsid w:val="425F2724"/>
    <w:rsid w:val="442845D2"/>
    <w:rsid w:val="4B3D2A0E"/>
    <w:rsid w:val="4B42518D"/>
    <w:rsid w:val="4CDD64C4"/>
    <w:rsid w:val="51DD0226"/>
    <w:rsid w:val="63462677"/>
    <w:rsid w:val="75680553"/>
    <w:rsid w:val="7A2730E3"/>
    <w:rsid w:val="7C615D09"/>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7"/>
    <w:qFormat/>
    <w:uiPriority w:val="99"/>
    <w:pPr>
      <w:spacing w:line="360" w:lineRule="auto"/>
      <w:ind w:firstLine="813" w:firstLineChars="225"/>
      <w:jc w:val="center"/>
    </w:pPr>
    <w:rPr>
      <w:rFonts w:ascii="Times New Roman" w:hAnsi="Times New Roman" w:cs="Times New Roman"/>
      <w:b/>
      <w:bCs/>
      <w:sz w:val="36"/>
      <w:szCs w:val="36"/>
    </w:rPr>
  </w:style>
  <w:style w:type="paragraph" w:styleId="3">
    <w:name w:val="Balloon Text"/>
    <w:basedOn w:val="1"/>
    <w:link w:val="8"/>
    <w:semiHidden/>
    <w:qFormat/>
    <w:uiPriority w:val="99"/>
    <w:rPr>
      <w:sz w:val="18"/>
      <w:szCs w:val="18"/>
    </w:rPr>
  </w:style>
  <w:style w:type="paragraph" w:customStyle="1" w:styleId="6">
    <w:name w:val="List Paragraph"/>
    <w:basedOn w:val="1"/>
    <w:qFormat/>
    <w:uiPriority w:val="99"/>
    <w:pPr>
      <w:ind w:firstLine="420" w:firstLineChars="200"/>
    </w:pPr>
  </w:style>
  <w:style w:type="character" w:customStyle="1" w:styleId="7">
    <w:name w:val="Body Text Indent Char"/>
    <w:basedOn w:val="4"/>
    <w:link w:val="2"/>
    <w:qFormat/>
    <w:locked/>
    <w:uiPriority w:val="99"/>
    <w:rPr>
      <w:rFonts w:ascii="Times New Roman" w:hAnsi="Times New Roman" w:eastAsia="宋体" w:cs="Times New Roman"/>
      <w:b/>
      <w:bCs/>
      <w:sz w:val="24"/>
      <w:szCs w:val="24"/>
    </w:rPr>
  </w:style>
  <w:style w:type="character" w:customStyle="1" w:styleId="8">
    <w:name w:val="Balloon Text Char"/>
    <w:basedOn w:val="4"/>
    <w:link w:val="3"/>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Pages>
  <Words>168</Words>
  <Characters>958</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2016-06-23T05:40:00Z</dcterms:created>
  <dc:creator>Microsoft</dc:creator>
  <cp:lastModifiedBy>Administrator</cp:lastModifiedBy>
  <cp:lastPrinted>2016-11-07T12:51:00Z</cp:lastPrinted>
  <dcterms:modified xsi:type="dcterms:W3CDTF">2016-12-30T02:28:39Z</dcterms:modified>
  <dc:title>江 苏 大 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